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3D" w:rsidRPr="0092237E" w:rsidRDefault="00BF7F3D" w:rsidP="00EE5B36">
      <w:pPr>
        <w:pStyle w:val="Heading2"/>
        <w:rPr>
          <w:color w:val="auto"/>
        </w:rPr>
      </w:pPr>
      <w:r w:rsidRPr="0092237E">
        <w:rPr>
          <w:color w:val="auto"/>
        </w:rPr>
        <w:t>Meeting Topics</w:t>
      </w:r>
    </w:p>
    <w:p w:rsidR="00774F9D" w:rsidRPr="0092237E" w:rsidRDefault="00774F9D" w:rsidP="00774F9D">
      <w:pPr>
        <w:pStyle w:val="ListParagraph"/>
        <w:numPr>
          <w:ilvl w:val="0"/>
          <w:numId w:val="25"/>
        </w:numPr>
        <w:spacing w:before="120" w:after="0"/>
        <w:contextualSpacing w:val="0"/>
      </w:pPr>
      <w:r w:rsidRPr="0092237E">
        <w:t>Greg Ford – new team member – Williams/INGAA</w:t>
      </w:r>
    </w:p>
    <w:p w:rsidR="005329F7" w:rsidRPr="0092237E" w:rsidRDefault="005329F7" w:rsidP="005329F7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 xml:space="preserve">Greg was </w:t>
      </w:r>
      <w:r w:rsidR="0092237E" w:rsidRPr="0092237E">
        <w:t xml:space="preserve">on vacation and </w:t>
      </w:r>
      <w:r w:rsidRPr="0092237E">
        <w:t xml:space="preserve">not </w:t>
      </w:r>
      <w:r w:rsidR="0092237E" w:rsidRPr="0092237E">
        <w:t>able to be on</w:t>
      </w:r>
      <w:r w:rsidRPr="0092237E">
        <w:t xml:space="preserve"> this call.</w:t>
      </w:r>
    </w:p>
    <w:p w:rsidR="00774F9D" w:rsidRPr="0092237E" w:rsidRDefault="00774F9D" w:rsidP="00774F9D">
      <w:pPr>
        <w:pStyle w:val="ListParagraph"/>
        <w:numPr>
          <w:ilvl w:val="0"/>
          <w:numId w:val="25"/>
        </w:numPr>
        <w:spacing w:before="120" w:after="0"/>
        <w:contextualSpacing w:val="0"/>
      </w:pPr>
      <w:r w:rsidRPr="0092237E">
        <w:t>INGAA’s PIPA webinar debrief</w:t>
      </w:r>
    </w:p>
    <w:p w:rsidR="005329F7" w:rsidRPr="0092237E" w:rsidRDefault="005329F7" w:rsidP="005329F7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>Webinar link was sent to Team members previously by Julie.</w:t>
      </w:r>
    </w:p>
    <w:p w:rsidR="005329F7" w:rsidRPr="0092237E" w:rsidRDefault="005329F7" w:rsidP="005329F7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>Approximately 146 people participated.</w:t>
      </w:r>
    </w:p>
    <w:p w:rsidR="005329F7" w:rsidRPr="0092237E" w:rsidRDefault="005329F7" w:rsidP="005329F7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>SGA considering hosting similar webinar (Greg Hines).</w:t>
      </w:r>
    </w:p>
    <w:p w:rsidR="005329F7" w:rsidRPr="0092237E" w:rsidRDefault="005329F7" w:rsidP="005329F7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>AGA will evaluate the possibility of hosting a similar webinar, maybe fall session (Chuck Kanoy).</w:t>
      </w:r>
    </w:p>
    <w:p w:rsidR="00007345" w:rsidRPr="0092237E" w:rsidRDefault="00007345" w:rsidP="005329F7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rPr>
          <w:b/>
          <w:u w:val="single"/>
        </w:rPr>
        <w:t>ACTION</w:t>
      </w:r>
      <w:r w:rsidRPr="0092237E">
        <w:rPr>
          <w:b/>
        </w:rPr>
        <w:t>:</w:t>
      </w:r>
      <w:r w:rsidRPr="0092237E">
        <w:t xml:space="preserve"> Julie will talk with </w:t>
      </w:r>
      <w:proofErr w:type="spellStart"/>
      <w:r w:rsidRPr="0092237E">
        <w:t>NACo</w:t>
      </w:r>
      <w:proofErr w:type="spellEnd"/>
      <w:r w:rsidRPr="0092237E">
        <w:t xml:space="preserve"> and NAHB regarding their hosting similar webinars.</w:t>
      </w:r>
      <w:r w:rsidR="008B17FC" w:rsidRPr="0092237E">
        <w:t xml:space="preserve"> </w:t>
      </w:r>
    </w:p>
    <w:p w:rsidR="00774F9D" w:rsidRPr="0092237E" w:rsidRDefault="00774F9D" w:rsidP="00774F9D">
      <w:pPr>
        <w:pStyle w:val="ListParagraph"/>
        <w:numPr>
          <w:ilvl w:val="0"/>
          <w:numId w:val="25"/>
        </w:numPr>
        <w:spacing w:before="120" w:after="0"/>
        <w:contextualSpacing w:val="0"/>
      </w:pPr>
      <w:r w:rsidRPr="0092237E">
        <w:t>Operator and Local Government PIPA Evaluation Tool - communication plan to other stakeholders?</w:t>
      </w:r>
    </w:p>
    <w:p w:rsidR="005329F7" w:rsidRPr="0092237E" w:rsidRDefault="005329F7" w:rsidP="005329F7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>Presented by Julie at CGA Damage Prevention Expo.</w:t>
      </w:r>
    </w:p>
    <w:p w:rsidR="008B17FC" w:rsidRPr="0092237E" w:rsidRDefault="008B17FC" w:rsidP="005329F7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>Draft tool for developers has been created but needs to be reviewed by NAHB before distributing.</w:t>
      </w:r>
    </w:p>
    <w:p w:rsidR="008B17FC" w:rsidRPr="0092237E" w:rsidRDefault="008B17FC" w:rsidP="005329F7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 xml:space="preserve">Distribute through an email cover letter with attachment to stakeholder orgs. </w:t>
      </w:r>
      <w:r w:rsidRPr="0092237E">
        <w:rPr>
          <w:b/>
          <w:u w:val="single"/>
        </w:rPr>
        <w:t>ACTION:</w:t>
      </w:r>
      <w:r w:rsidRPr="0092237E">
        <w:t xml:space="preserve"> Julie will draft cover letter for various stakeholder groups.</w:t>
      </w:r>
    </w:p>
    <w:p w:rsidR="00E01DCB" w:rsidRPr="0092237E" w:rsidRDefault="005329F7" w:rsidP="005329F7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 xml:space="preserve">Article for trade magazines – </w:t>
      </w:r>
      <w:r w:rsidR="00E01DCB" w:rsidRPr="0092237E">
        <w:t xml:space="preserve">Jeff Share, Pipeline &amp; Gas Journal, has offered to </w:t>
      </w:r>
      <w:r w:rsidR="00412477" w:rsidRPr="0092237E">
        <w:t>print</w:t>
      </w:r>
      <w:r w:rsidR="00E01DCB" w:rsidRPr="0092237E">
        <w:t xml:space="preserve"> article.  </w:t>
      </w:r>
      <w:r w:rsidR="000721C3" w:rsidRPr="0092237E">
        <w:rPr>
          <w:b/>
          <w:u w:val="single"/>
        </w:rPr>
        <w:t>ACTION</w:t>
      </w:r>
      <w:r w:rsidR="000721C3" w:rsidRPr="0092237E">
        <w:rPr>
          <w:b/>
        </w:rPr>
        <w:t>:</w:t>
      </w:r>
      <w:r w:rsidR="000721C3" w:rsidRPr="0092237E">
        <w:t xml:space="preserve"> </w:t>
      </w:r>
      <w:r w:rsidR="00E01DCB" w:rsidRPr="0092237E">
        <w:t>Susan Waller offered to prepare, possibly as Q&amp;A.</w:t>
      </w:r>
    </w:p>
    <w:p w:rsidR="00E01DCB" w:rsidRPr="0092237E" w:rsidRDefault="00E01DCB" w:rsidP="005329F7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>P&amp;G Journal does a spring conference</w:t>
      </w:r>
      <w:r w:rsidR="00412477" w:rsidRPr="0092237E">
        <w:t xml:space="preserve">. </w:t>
      </w:r>
      <w:r w:rsidRPr="0092237E">
        <w:t xml:space="preserve"> </w:t>
      </w:r>
      <w:r w:rsidR="000721C3" w:rsidRPr="0092237E">
        <w:rPr>
          <w:b/>
          <w:u w:val="single"/>
        </w:rPr>
        <w:t>ACTION</w:t>
      </w:r>
      <w:r w:rsidR="000721C3" w:rsidRPr="0092237E">
        <w:rPr>
          <w:b/>
        </w:rPr>
        <w:t>:</w:t>
      </w:r>
      <w:r w:rsidR="000721C3" w:rsidRPr="0092237E">
        <w:t xml:space="preserve"> Terri Larsen will</w:t>
      </w:r>
      <w:r w:rsidRPr="0092237E">
        <w:t xml:space="preserve"> contact them to see if a forum panel could get on the agenda.</w:t>
      </w:r>
      <w:r w:rsidR="00A83F48">
        <w:t xml:space="preserve"> Possible topics related to PIPA to consider are encroachment programs and methods to identify new development along the pipeline ROW.</w:t>
      </w:r>
    </w:p>
    <w:p w:rsidR="00E01DCB" w:rsidRPr="0092237E" w:rsidRDefault="00E01DCB" w:rsidP="005329F7">
      <w:pPr>
        <w:pStyle w:val="ListParagraph"/>
        <w:numPr>
          <w:ilvl w:val="1"/>
          <w:numId w:val="25"/>
        </w:numPr>
        <w:spacing w:before="120" w:after="0"/>
        <w:contextualSpacing w:val="0"/>
      </w:pPr>
      <w:proofErr w:type="spellStart"/>
      <w:r w:rsidRPr="0092237E">
        <w:t>Vectren</w:t>
      </w:r>
      <w:proofErr w:type="spellEnd"/>
      <w:r w:rsidRPr="0092237E">
        <w:t xml:space="preserve"> Encroachment Manager – </w:t>
      </w:r>
      <w:proofErr w:type="spellStart"/>
      <w:r w:rsidRPr="0092237E">
        <w:t>Vectren</w:t>
      </w:r>
      <w:proofErr w:type="spellEnd"/>
      <w:r w:rsidRPr="0092237E">
        <w:t xml:space="preserve"> began looking at preventive and mitigative measures last year, recognizing that communities plan and implement development without consulting pipeline operators.  </w:t>
      </w:r>
      <w:proofErr w:type="spellStart"/>
      <w:r w:rsidRPr="0092237E">
        <w:t>Vectren</w:t>
      </w:r>
      <w:proofErr w:type="spellEnd"/>
      <w:r w:rsidRPr="0092237E">
        <w:t xml:space="preserve"> hired one encroachment manager to try to mitigate damage by looking at development projects and reaching out to affected stakeholders. </w:t>
      </w:r>
      <w:proofErr w:type="spellStart"/>
      <w:r w:rsidRPr="0092237E">
        <w:t>Vectren</w:t>
      </w:r>
      <w:proofErr w:type="spellEnd"/>
      <w:r w:rsidRPr="0092237E">
        <w:t xml:space="preserve"> is developing an encroachment policy. </w:t>
      </w:r>
    </w:p>
    <w:p w:rsidR="00E01DCB" w:rsidRPr="0092237E" w:rsidRDefault="00E01DCB" w:rsidP="005329F7">
      <w:pPr>
        <w:pStyle w:val="ListParagraph"/>
        <w:numPr>
          <w:ilvl w:val="1"/>
          <w:numId w:val="25"/>
        </w:numPr>
        <w:spacing w:before="120" w:after="0"/>
        <w:contextualSpacing w:val="0"/>
      </w:pPr>
      <w:proofErr w:type="gramStart"/>
      <w:r w:rsidRPr="0092237E">
        <w:t>Spectra is</w:t>
      </w:r>
      <w:proofErr w:type="gramEnd"/>
      <w:r w:rsidRPr="0092237E">
        <w:t xml:space="preserve"> in early stages of program development of program to look at growth and construction permits to identify potential encroachment areas.  Partly driven by surveillance requirements for class location.  Talking to/looking for vendors that might help.</w:t>
      </w:r>
    </w:p>
    <w:p w:rsidR="000721C3" w:rsidRPr="0092237E" w:rsidRDefault="000721C3" w:rsidP="005329F7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 xml:space="preserve">API does </w:t>
      </w:r>
      <w:proofErr w:type="spellStart"/>
      <w:r w:rsidRPr="0092237E">
        <w:t>SmartBrief</w:t>
      </w:r>
      <w:proofErr w:type="spellEnd"/>
      <w:r w:rsidRPr="0092237E">
        <w:t xml:space="preserve"> newsletter; AOPL does newsletter.  </w:t>
      </w:r>
      <w:r w:rsidRPr="0092237E">
        <w:rPr>
          <w:b/>
          <w:u w:val="single"/>
        </w:rPr>
        <w:t>ACTION</w:t>
      </w:r>
      <w:r w:rsidRPr="0092237E">
        <w:t>: Terri Larsen will check into getting articles into those publications.</w:t>
      </w:r>
    </w:p>
    <w:p w:rsidR="00774F9D" w:rsidRPr="0092237E" w:rsidRDefault="00774F9D" w:rsidP="00774F9D">
      <w:pPr>
        <w:pStyle w:val="ListParagraph"/>
        <w:numPr>
          <w:ilvl w:val="0"/>
          <w:numId w:val="25"/>
        </w:numPr>
        <w:spacing w:before="120" w:after="0"/>
        <w:contextualSpacing w:val="0"/>
      </w:pPr>
      <w:r w:rsidRPr="0092237E">
        <w:t>Recent and Upcoming communication efforts (CGA, Salt Lake City Forum, API)</w:t>
      </w:r>
    </w:p>
    <w:p w:rsidR="000721C3" w:rsidRPr="0092237E" w:rsidRDefault="000721C3" w:rsidP="000721C3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>This week</w:t>
      </w:r>
      <w:r w:rsidR="0092237E" w:rsidRPr="0092237E">
        <w:t xml:space="preserve"> </w:t>
      </w:r>
      <w:r w:rsidRPr="0092237E">
        <w:t>Salt Lake City</w:t>
      </w:r>
      <w:r w:rsidR="0092237E" w:rsidRPr="0092237E">
        <w:t xml:space="preserve"> is holding a pipeline safety forum as a follow up from the </w:t>
      </w:r>
      <w:r w:rsidRPr="0092237E">
        <w:t>Chevron spill</w:t>
      </w:r>
      <w:r w:rsidR="0092237E" w:rsidRPr="0092237E">
        <w:t xml:space="preserve"> in Butte </w:t>
      </w:r>
      <w:proofErr w:type="gramStart"/>
      <w:r w:rsidR="0092237E" w:rsidRPr="0092237E">
        <w:t xml:space="preserve">Creek </w:t>
      </w:r>
      <w:r w:rsidRPr="0092237E">
        <w:t xml:space="preserve"> in</w:t>
      </w:r>
      <w:proofErr w:type="gramEnd"/>
      <w:r w:rsidRPr="0092237E">
        <w:t xml:space="preserve"> 2011</w:t>
      </w:r>
      <w:r w:rsidR="0092237E" w:rsidRPr="0092237E">
        <w:t>.</w:t>
      </w:r>
      <w:r w:rsidRPr="0092237E">
        <w:t xml:space="preserve"> PHMSA will be presenting</w:t>
      </w:r>
      <w:r w:rsidR="0092237E" w:rsidRPr="0092237E">
        <w:t xml:space="preserve"> </w:t>
      </w:r>
      <w:r w:rsidRPr="0092237E">
        <w:t>(Chris Hoidal, Linda Daugherty,</w:t>
      </w:r>
      <w:r w:rsidR="0092237E" w:rsidRPr="0092237E">
        <w:t xml:space="preserve"> Tim Finch, David Mulligan,</w:t>
      </w:r>
      <w:r w:rsidRPr="0092237E">
        <w:t xml:space="preserve"> </w:t>
      </w:r>
      <w:proofErr w:type="gramStart"/>
      <w:r w:rsidR="0092237E" w:rsidRPr="0092237E">
        <w:t>Julie</w:t>
      </w:r>
      <w:proofErr w:type="gramEnd"/>
      <w:r w:rsidR="0092237E" w:rsidRPr="0092237E">
        <w:t xml:space="preserve"> Halliday</w:t>
      </w:r>
      <w:r w:rsidRPr="0092237E">
        <w:t>)</w:t>
      </w:r>
      <w:r w:rsidR="0092237E" w:rsidRPr="0092237E">
        <w:t xml:space="preserve"> as well as CGA, API and several pipeline operators in the area, excluding Chevron</w:t>
      </w:r>
      <w:r w:rsidRPr="0092237E">
        <w:t xml:space="preserve">.  Hosted by Salt Lake City and County; Robin </w:t>
      </w:r>
      <w:proofErr w:type="spellStart"/>
      <w:r w:rsidRPr="0092237E">
        <w:t>Carbaugh</w:t>
      </w:r>
      <w:proofErr w:type="spellEnd"/>
      <w:r w:rsidRPr="0092237E">
        <w:t xml:space="preserve">, hired by SLC as ombudsman, is </w:t>
      </w:r>
      <w:r w:rsidR="0092237E" w:rsidRPr="0092237E">
        <w:t xml:space="preserve">the primary </w:t>
      </w:r>
      <w:r w:rsidRPr="0092237E">
        <w:t xml:space="preserve">contact.  SLC received TAG from PHMSA as a result of the Chevron spill.  Rebecca Craven noted city and county </w:t>
      </w:r>
      <w:r w:rsidRPr="0092237E">
        <w:lastRenderedPageBreak/>
        <w:t>contracted with PST to organize and put on forums and conferences regarding pipeline issues.  Format is mixed</w:t>
      </w:r>
      <w:r w:rsidR="0092237E" w:rsidRPr="0092237E">
        <w:t xml:space="preserve"> panels with presenters on health issues, the aftermath of the spill, national pipeline safety issues, damage prevention, emergency response and land use planning.</w:t>
      </w:r>
    </w:p>
    <w:p w:rsidR="000721C3" w:rsidRPr="0092237E" w:rsidRDefault="00CC5953" w:rsidP="000721C3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>Incident mitigation management plan (ANPRM) – INGAA commented.  Involves operators working with emergency responders.</w:t>
      </w:r>
    </w:p>
    <w:p w:rsidR="00CC5953" w:rsidRPr="0092237E" w:rsidRDefault="0092237E" w:rsidP="000721C3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 xml:space="preserve">Terri and Julie will be </w:t>
      </w:r>
      <w:proofErr w:type="gramStart"/>
      <w:r w:rsidRPr="0092237E">
        <w:t>presenting  at</w:t>
      </w:r>
      <w:proofErr w:type="gramEnd"/>
      <w:r w:rsidRPr="0092237E">
        <w:t xml:space="preserve"> the API Conference in April.</w:t>
      </w:r>
    </w:p>
    <w:p w:rsidR="0092237E" w:rsidRPr="0092237E" w:rsidRDefault="00774F9D" w:rsidP="00774F9D">
      <w:pPr>
        <w:pStyle w:val="ListParagraph"/>
        <w:numPr>
          <w:ilvl w:val="0"/>
          <w:numId w:val="25"/>
        </w:numPr>
        <w:spacing w:before="120" w:after="0"/>
        <w:contextualSpacing w:val="0"/>
      </w:pPr>
      <w:r w:rsidRPr="0092237E">
        <w:t xml:space="preserve">FAQs for website </w:t>
      </w:r>
      <w:r w:rsidR="0092237E" w:rsidRPr="0092237E">
        <w:rPr>
          <w:b/>
          <w:u w:val="single"/>
        </w:rPr>
        <w:t>Action:</w:t>
      </w:r>
      <w:r w:rsidR="0092237E" w:rsidRPr="0092237E">
        <w:t xml:space="preserve"> Julie will distribute version for final review and then will post on the website.</w:t>
      </w:r>
    </w:p>
    <w:p w:rsidR="00774F9D" w:rsidRPr="0092237E" w:rsidRDefault="00774F9D" w:rsidP="00774F9D">
      <w:pPr>
        <w:pStyle w:val="ListParagraph"/>
        <w:numPr>
          <w:ilvl w:val="0"/>
          <w:numId w:val="25"/>
        </w:numPr>
        <w:spacing w:before="120" w:after="0"/>
        <w:contextualSpacing w:val="0"/>
      </w:pPr>
      <w:r w:rsidRPr="0092237E">
        <w:t>Hazard mitigation plan update – VDEM</w:t>
      </w:r>
    </w:p>
    <w:p w:rsidR="00CC5953" w:rsidRPr="0092237E" w:rsidRDefault="00CC5953" w:rsidP="00CC5953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>Working with VDEM to develop a project to integrate pipelines in state and regional hazard mitigation plans.  Virginia received TAG in this regard.</w:t>
      </w:r>
      <w:r w:rsidR="0092237E" w:rsidRPr="0092237E">
        <w:t xml:space="preserve"> </w:t>
      </w:r>
      <w:r w:rsidR="0092237E" w:rsidRPr="0092237E">
        <w:rPr>
          <w:b/>
          <w:u w:val="single"/>
        </w:rPr>
        <w:t>Action:</w:t>
      </w:r>
      <w:r w:rsidR="0092237E" w:rsidRPr="0092237E">
        <w:t xml:space="preserve"> Julie will distribute plan outline to team for review and comment.</w:t>
      </w:r>
    </w:p>
    <w:p w:rsidR="00774F9D" w:rsidRPr="0092237E" w:rsidRDefault="00774F9D" w:rsidP="00774F9D">
      <w:pPr>
        <w:pStyle w:val="ListParagraph"/>
        <w:numPr>
          <w:ilvl w:val="0"/>
          <w:numId w:val="25"/>
        </w:numPr>
        <w:spacing w:before="120" w:after="0"/>
        <w:contextualSpacing w:val="0"/>
      </w:pPr>
      <w:r w:rsidRPr="0092237E">
        <w:t>Pilot of RP ND 23 – volunteers?</w:t>
      </w:r>
    </w:p>
    <w:p w:rsidR="00CC5953" w:rsidRPr="0092237E" w:rsidRDefault="0092237E" w:rsidP="00CC5953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 xml:space="preserve">Tim Butters, Deputy Administrator </w:t>
      </w:r>
      <w:r w:rsidR="00CC5953" w:rsidRPr="0092237E">
        <w:t>has reached out to constituents in fire community to see what should be considered in emergency response relative to ND23</w:t>
      </w:r>
      <w:r w:rsidRPr="0092237E">
        <w:t xml:space="preserve"> and to solicit volunteers to participate in a pilot review of the existing ROW for emergency response preparedness/response planning</w:t>
      </w:r>
      <w:r w:rsidR="00CC5953" w:rsidRPr="0092237E">
        <w:t xml:space="preserve">.  Will inform Team as </w:t>
      </w:r>
      <w:r w:rsidRPr="0092237E">
        <w:t>information</w:t>
      </w:r>
      <w:r w:rsidR="00CC5953" w:rsidRPr="0092237E">
        <w:t xml:space="preserve"> evolves.</w:t>
      </w:r>
    </w:p>
    <w:p w:rsidR="00774F9D" w:rsidRPr="0092237E" w:rsidRDefault="00774F9D" w:rsidP="00774F9D">
      <w:pPr>
        <w:pStyle w:val="ListParagraph"/>
        <w:numPr>
          <w:ilvl w:val="0"/>
          <w:numId w:val="25"/>
        </w:numPr>
        <w:spacing w:before="120" w:after="0"/>
        <w:contextualSpacing w:val="0"/>
      </w:pPr>
      <w:r w:rsidRPr="0092237E">
        <w:t>NPMS Logo in development</w:t>
      </w:r>
    </w:p>
    <w:p w:rsidR="00CC5953" w:rsidRPr="0092237E" w:rsidRDefault="00CC5953" w:rsidP="00CC5953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 xml:space="preserve">PHMSA is in process of developing logo. </w:t>
      </w:r>
      <w:r w:rsidR="0092237E" w:rsidRPr="0092237E">
        <w:t>The logo will be available for others to put on their website and link to the NPMS Public Viewer.</w:t>
      </w:r>
    </w:p>
    <w:p w:rsidR="00774F9D" w:rsidRPr="0092237E" w:rsidRDefault="00774F9D" w:rsidP="00774F9D">
      <w:pPr>
        <w:pStyle w:val="ListParagraph"/>
        <w:numPr>
          <w:ilvl w:val="0"/>
          <w:numId w:val="25"/>
        </w:numPr>
        <w:spacing w:before="120" w:after="0"/>
        <w:contextualSpacing w:val="0"/>
      </w:pPr>
      <w:r w:rsidRPr="0092237E">
        <w:t xml:space="preserve">APA PAS report meeting – canceled </w:t>
      </w:r>
    </w:p>
    <w:p w:rsidR="00CC5953" w:rsidRPr="0092237E" w:rsidRDefault="00CC5953" w:rsidP="00CC5953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>APA decided it wasn’t in their interest at this time to develop PAS report following discussion with PHMSA and</w:t>
      </w:r>
      <w:r w:rsidR="0092237E" w:rsidRPr="0092237E">
        <w:t xml:space="preserve"> PIPA Communications Team.  </w:t>
      </w:r>
    </w:p>
    <w:p w:rsidR="00774F9D" w:rsidRPr="0092237E" w:rsidRDefault="00774F9D" w:rsidP="00774F9D">
      <w:pPr>
        <w:pStyle w:val="ListParagraph"/>
        <w:numPr>
          <w:ilvl w:val="0"/>
          <w:numId w:val="25"/>
        </w:numPr>
        <w:spacing w:before="120" w:after="0"/>
        <w:contextualSpacing w:val="0"/>
      </w:pPr>
      <w:r w:rsidRPr="0092237E">
        <w:t>Dates for PIPA Communication Team face-to-face meeting – July 24-25</w:t>
      </w:r>
    </w:p>
    <w:p w:rsidR="00A83F48" w:rsidRPr="0092237E" w:rsidRDefault="00A83F48" w:rsidP="00A83F48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>Location for meeting - suggestions: DC; Bellingham, WA;</w:t>
      </w:r>
      <w:r>
        <w:t xml:space="preserve"> Indianapolis; </w:t>
      </w:r>
      <w:r w:rsidRPr="00A83F48">
        <w:rPr>
          <w:b/>
          <w:u w:val="single"/>
        </w:rPr>
        <w:t>Action:</w:t>
      </w:r>
      <w:r>
        <w:t xml:space="preserve"> Looking for a host for the meeting. If interested, let Julie know.</w:t>
      </w:r>
    </w:p>
    <w:p w:rsidR="00CC5953" w:rsidRPr="0092237E" w:rsidRDefault="00CC5953" w:rsidP="00CC5953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 xml:space="preserve">Topics:  1) Overhaul of PIPA website; 2) </w:t>
      </w:r>
      <w:r w:rsidR="00A83F48">
        <w:t>Review of hazard mitigation planning assistance guide to state and local governments</w:t>
      </w:r>
      <w:r w:rsidRPr="0092237E">
        <w:t>.</w:t>
      </w:r>
    </w:p>
    <w:p w:rsidR="00412477" w:rsidRPr="0092237E" w:rsidRDefault="00412477" w:rsidP="00CC5953">
      <w:pPr>
        <w:pStyle w:val="ListParagraph"/>
        <w:numPr>
          <w:ilvl w:val="1"/>
          <w:numId w:val="25"/>
        </w:numPr>
        <w:spacing w:before="120" w:after="0"/>
        <w:contextualSpacing w:val="0"/>
      </w:pPr>
      <w:r w:rsidRPr="0092237E">
        <w:t xml:space="preserve">Suggestion:  Include a working session with a local community planning committee.  E.g., community planning group involved with a controversial Spectra compressor station.  This will also help some Team members justify travel/costs for meeting.  </w:t>
      </w:r>
      <w:r w:rsidRPr="0092237E">
        <w:rPr>
          <w:b/>
          <w:u w:val="single"/>
        </w:rPr>
        <w:t>ACTION</w:t>
      </w:r>
      <w:r w:rsidRPr="0092237E">
        <w:t>: Andrea and Susan will look for some locations.  Will also talk to Greg Ford.</w:t>
      </w:r>
    </w:p>
    <w:p w:rsidR="00CC5953" w:rsidRPr="0092237E" w:rsidRDefault="00CC5953" w:rsidP="00774F9D">
      <w:pPr>
        <w:pStyle w:val="ListParagraph"/>
        <w:numPr>
          <w:ilvl w:val="0"/>
          <w:numId w:val="25"/>
        </w:numPr>
        <w:spacing w:before="120" w:after="0"/>
        <w:contextualSpacing w:val="0"/>
      </w:pPr>
      <w:r w:rsidRPr="0092237E">
        <w:t>Other topics</w:t>
      </w:r>
      <w:r w:rsidR="00A83F48">
        <w:t>/comments</w:t>
      </w:r>
      <w:r w:rsidRPr="0092237E">
        <w:t>:</w:t>
      </w:r>
      <w:r w:rsidR="00A83F48">
        <w:t xml:space="preserve"> Need to raise the bar for </w:t>
      </w:r>
      <w:r w:rsidR="00FF736E">
        <w:t>PIPA communications</w:t>
      </w:r>
      <w:r w:rsidR="00A83F48">
        <w:t>.</w:t>
      </w:r>
    </w:p>
    <w:p w:rsidR="00987B93" w:rsidRPr="0092237E" w:rsidRDefault="00987B93" w:rsidP="00987B93"/>
    <w:p w:rsidR="00774F9D" w:rsidRPr="0092237E" w:rsidRDefault="00774F9D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92237E">
        <w:br w:type="page"/>
      </w:r>
    </w:p>
    <w:p w:rsidR="00EE5B36" w:rsidRPr="0092237E" w:rsidRDefault="00EE5B36" w:rsidP="00EE5B36">
      <w:pPr>
        <w:pStyle w:val="Heading2"/>
        <w:rPr>
          <w:color w:val="auto"/>
        </w:rPr>
      </w:pPr>
      <w:bookmarkStart w:id="0" w:name="_GoBack"/>
      <w:bookmarkEnd w:id="0"/>
      <w:r w:rsidRPr="0092237E">
        <w:rPr>
          <w:color w:val="auto"/>
        </w:rPr>
        <w:lastRenderedPageBreak/>
        <w:t>Participants</w:t>
      </w:r>
      <w:r w:rsidR="00660CB1" w:rsidRPr="0092237E">
        <w:rPr>
          <w:color w:val="auto"/>
        </w:rPr>
        <w:t xml:space="preserve"> </w:t>
      </w:r>
      <w:r w:rsidR="00660CB1" w:rsidRPr="0092237E">
        <w:rPr>
          <w:b w:val="0"/>
          <w:color w:val="auto"/>
          <w:sz w:val="20"/>
          <w:szCs w:val="20"/>
        </w:rPr>
        <w:t>(grey font indicates Team member did not participate in this meeting)</w:t>
      </w:r>
    </w:p>
    <w:tbl>
      <w:tblPr>
        <w:tblW w:w="5042" w:type="pct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8"/>
        <w:gridCol w:w="1471"/>
        <w:gridCol w:w="3510"/>
        <w:gridCol w:w="3350"/>
      </w:tblGrid>
      <w:tr w:rsidR="00EE5B36" w:rsidRPr="0092237E" w:rsidTr="00305FCE">
        <w:trPr>
          <w:trHeight w:val="113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B36" w:rsidRPr="0092237E" w:rsidRDefault="00EE5B36" w:rsidP="00EE5B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237E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Pr="0092237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B36" w:rsidRPr="0092237E" w:rsidRDefault="003E2551" w:rsidP="00EE5B3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hyperlink w:anchor="'PIPA_Tracking'!A1" w:history="1">
              <w:r w:rsidR="00EE5B36" w:rsidRPr="0092237E">
                <w:rPr>
                  <w:rStyle w:val="Hyperlink"/>
                  <w:rFonts w:cstheme="minorHAnsi"/>
                  <w:b/>
                  <w:bCs/>
                  <w:color w:val="auto"/>
                  <w:sz w:val="20"/>
                  <w:szCs w:val="20"/>
                </w:rPr>
                <w:t>Representing</w:t>
              </w:r>
            </w:hyperlink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B36" w:rsidRPr="0092237E" w:rsidRDefault="00EE5B36" w:rsidP="00EE5B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237E">
              <w:rPr>
                <w:rFonts w:cstheme="minorHAnsi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B36" w:rsidRPr="0092237E" w:rsidRDefault="00EE5B36" w:rsidP="00EE5B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237E">
              <w:rPr>
                <w:rFonts w:cstheme="minorHAnsi"/>
                <w:b/>
                <w:bCs/>
                <w:sz w:val="20"/>
                <w:szCs w:val="20"/>
              </w:rPr>
              <w:t>Email</w:t>
            </w:r>
            <w:r w:rsidRPr="0092237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E5B36" w:rsidRPr="0092237E" w:rsidTr="00305FCE">
        <w:trPr>
          <w:trHeight w:val="201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Cynthia Munyon* 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NAPSR 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Iowa Utilities Board 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8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cynthia.munyon@iub.iowa.gov </w:t>
              </w:r>
            </w:hyperlink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Steve Fischer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PHMSA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PHMSA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9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Steve.fischer@dot.gov</w:t>
              </w:r>
            </w:hyperlink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Julie Halliday*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PHMSA 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PHMSA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10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julie.halliday@dot.gov</w:t>
              </w:r>
            </w:hyperlink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James Davenport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2237E">
              <w:rPr>
                <w:rFonts w:cstheme="minorHAnsi"/>
                <w:sz w:val="20"/>
                <w:szCs w:val="20"/>
              </w:rPr>
              <w:t>NACo</w:t>
            </w:r>
            <w:proofErr w:type="spellEnd"/>
            <w:r w:rsidRPr="0092237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Nat’l Assoc. of Counties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11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jdavenpo@naco.org</w:t>
              </w:r>
            </w:hyperlink>
            <w:r w:rsidR="00EE5B36" w:rsidRPr="0092237E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Jim Philipps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2237E">
              <w:rPr>
                <w:rFonts w:cstheme="minorHAnsi"/>
                <w:sz w:val="20"/>
                <w:szCs w:val="20"/>
              </w:rPr>
              <w:t>NACo</w:t>
            </w:r>
            <w:proofErr w:type="spellEnd"/>
          </w:p>
        </w:tc>
        <w:tc>
          <w:tcPr>
            <w:tcW w:w="15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Nat’l Assoc. of Counties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12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jphilipps@naco.org</w:t>
              </w:r>
            </w:hyperlink>
          </w:p>
        </w:tc>
      </w:tr>
      <w:tr w:rsidR="00EE5B36" w:rsidRPr="0092237E" w:rsidTr="00305FCE">
        <w:trPr>
          <w:trHeight w:val="309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Julia Pulidindi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NLC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National League of Cities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13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pulidindi@nlc.org</w:t>
              </w:r>
            </w:hyperlink>
          </w:p>
        </w:tc>
      </w:tr>
      <w:tr w:rsidR="00BB6341" w:rsidRPr="0092237E" w:rsidTr="00305FCE">
        <w:trPr>
          <w:trHeight w:val="309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341" w:rsidRPr="0092237E" w:rsidRDefault="00BB6341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Chuck Lesniak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341" w:rsidRPr="0092237E" w:rsidRDefault="00BB6341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NLC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341" w:rsidRPr="0092237E" w:rsidRDefault="00BB6341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City of Austin, TX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41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14" w:history="1">
              <w:r w:rsidR="00BB6341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Chuck.lesniak@austintexas.gov</w:t>
              </w:r>
            </w:hyperlink>
            <w:r w:rsidR="00BB6341" w:rsidRPr="0092237E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Debbie Bassert 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NAHB 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Nat’l Assoc. of Home Builders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15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dbassert@nahb.org </w:t>
              </w:r>
            </w:hyperlink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Erika Lee 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CGA </w:t>
            </w:r>
          </w:p>
        </w:tc>
        <w:tc>
          <w:tcPr>
            <w:tcW w:w="15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Common Ground Alliance</w:t>
            </w:r>
          </w:p>
        </w:tc>
        <w:tc>
          <w:tcPr>
            <w:tcW w:w="15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16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erikaa@commongroundalliance.com </w:t>
              </w:r>
            </w:hyperlink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Rebecca Craven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PST</w:t>
            </w: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Pipeline Safety Trust</w:t>
            </w:r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17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rebecca@pstrust.org</w:t>
              </w:r>
            </w:hyperlink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Carl Weimer 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PST </w:t>
            </w: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Pipeline Safety Trust</w:t>
            </w:r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18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carl@pstrust.org </w:t>
              </w:r>
            </w:hyperlink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Gina Greenslate 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API/AOPL </w:t>
            </w: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Panhandle Energy Companies </w:t>
            </w:r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19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gina.greenslate@sug.com </w:t>
              </w:r>
            </w:hyperlink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Terri Larson 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API/AOPL </w:t>
            </w: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Enbridge Energy Company</w:t>
            </w:r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20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Terri.larson@enbridge.com </w:t>
              </w:r>
            </w:hyperlink>
          </w:p>
        </w:tc>
      </w:tr>
      <w:tr w:rsidR="00BB6341" w:rsidRPr="0092237E" w:rsidTr="00305FCE">
        <w:trPr>
          <w:trHeight w:val="59"/>
        </w:trPr>
        <w:tc>
          <w:tcPr>
            <w:tcW w:w="12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41" w:rsidRPr="0092237E" w:rsidRDefault="00BB6341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Dan Dana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41" w:rsidRPr="0092237E" w:rsidRDefault="00BB6341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AGA</w:t>
            </w: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41" w:rsidRPr="0092237E" w:rsidRDefault="00BB6341" w:rsidP="00EE5B3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2237E">
              <w:rPr>
                <w:rFonts w:cstheme="minorHAnsi"/>
                <w:sz w:val="20"/>
                <w:szCs w:val="20"/>
              </w:rPr>
              <w:t>Vectren</w:t>
            </w:r>
            <w:proofErr w:type="spellEnd"/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341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21" w:history="1">
              <w:r w:rsidR="00BB6341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ddana@vectren.com</w:t>
              </w:r>
            </w:hyperlink>
            <w:r w:rsidR="00BB6341" w:rsidRPr="0092237E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A30CE6" w:rsidRPr="0092237E" w:rsidTr="00305FCE">
        <w:trPr>
          <w:trHeight w:val="59"/>
        </w:trPr>
        <w:tc>
          <w:tcPr>
            <w:tcW w:w="12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E6" w:rsidRPr="0092237E" w:rsidRDefault="00A30CE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Chuck Kanoy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E6" w:rsidRPr="0092237E" w:rsidRDefault="00A30CE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AGA</w:t>
            </w: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E6" w:rsidRPr="0092237E" w:rsidRDefault="00A30CE6" w:rsidP="00EE5B3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2237E">
              <w:rPr>
                <w:rFonts w:cstheme="minorHAnsi"/>
                <w:sz w:val="20"/>
                <w:szCs w:val="20"/>
              </w:rPr>
              <w:t>Vectren</w:t>
            </w:r>
            <w:proofErr w:type="spellEnd"/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E6" w:rsidRPr="0092237E" w:rsidRDefault="003E2551" w:rsidP="00EE5B3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2" w:history="1">
              <w:r w:rsidR="00A30CE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bckanoy@vectren.com</w:t>
              </w:r>
            </w:hyperlink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Phil Bennett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AGA </w:t>
            </w: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American Gas Association</w:t>
            </w:r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23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pbennett@aga.org</w:t>
              </w:r>
            </w:hyperlink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Lydia </w:t>
            </w:r>
            <w:proofErr w:type="spellStart"/>
            <w:r w:rsidRPr="0092237E">
              <w:rPr>
                <w:rFonts w:cstheme="minorHAnsi"/>
                <w:sz w:val="20"/>
                <w:szCs w:val="20"/>
              </w:rPr>
              <w:t>Meiqs</w:t>
            </w:r>
            <w:proofErr w:type="spellEnd"/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AGA </w:t>
            </w: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American Gas Association</w:t>
            </w:r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24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Lmeiqs@aga.org</w:t>
              </w:r>
            </w:hyperlink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Susan Waller 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INGAA </w:t>
            </w: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Spectra Energy</w:t>
            </w:r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25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SDWaller@spectraenergy.com </w:t>
              </w:r>
            </w:hyperlink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Andrea Grover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INGAA </w:t>
            </w: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Spectra Energy</w:t>
            </w:r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26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ADGrover@spectraenergy.com</w:t>
              </w:r>
            </w:hyperlink>
            <w:r w:rsidR="00EE5B36" w:rsidRPr="0092237E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Dwayne Teschendorf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INGAA </w:t>
            </w: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Spectra Energy</w:t>
            </w:r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27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DETeschendorf@spectraenergy.com </w:t>
              </w:r>
            </w:hyperlink>
          </w:p>
        </w:tc>
      </w:tr>
      <w:tr w:rsidR="00F233BD" w:rsidRPr="0092237E" w:rsidTr="00305FCE">
        <w:trPr>
          <w:trHeight w:val="59"/>
        </w:trPr>
        <w:tc>
          <w:tcPr>
            <w:tcW w:w="12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BD" w:rsidRPr="0092237E" w:rsidRDefault="00F233BD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Greg Ford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BD" w:rsidRPr="0092237E" w:rsidRDefault="00F233BD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INGAA</w:t>
            </w: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BD" w:rsidRPr="0092237E" w:rsidRDefault="00F233BD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Williams </w:t>
            </w:r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BD" w:rsidRPr="0092237E" w:rsidRDefault="003E2551" w:rsidP="00EE5B36">
            <w:pPr>
              <w:rPr>
                <w:b/>
              </w:rPr>
            </w:pPr>
            <w:hyperlink r:id="rId28" w:history="1">
              <w:r w:rsidR="00F233BD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Greg.r.ford@williams.com</w:t>
              </w:r>
            </w:hyperlink>
            <w:r w:rsidR="00F233BD" w:rsidRPr="0092237E">
              <w:rPr>
                <w:b/>
              </w:rPr>
              <w:t xml:space="preserve"> </w:t>
            </w:r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Amber Pappas 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RCP </w:t>
            </w: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RCP </w:t>
            </w:r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Style w:val="Hyperlink"/>
                <w:color w:val="auto"/>
              </w:rPr>
            </w:pPr>
            <w:hyperlink r:id="rId29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apappas@rcp.com </w:t>
              </w:r>
            </w:hyperlink>
          </w:p>
        </w:tc>
      </w:tr>
      <w:tr w:rsidR="00EE5B36" w:rsidRPr="0092237E" w:rsidTr="00305FCE">
        <w:trPr>
          <w:trHeight w:val="59"/>
        </w:trPr>
        <w:tc>
          <w:tcPr>
            <w:tcW w:w="12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Herb Wilhite </w:t>
            </w:r>
          </w:p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 xml:space="preserve">PHMSA/Cycla </w:t>
            </w:r>
          </w:p>
        </w:tc>
        <w:tc>
          <w:tcPr>
            <w:tcW w:w="15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EE5B36" w:rsidP="00EE5B36">
            <w:pPr>
              <w:rPr>
                <w:rFonts w:cstheme="minorHAnsi"/>
                <w:sz w:val="20"/>
                <w:szCs w:val="20"/>
              </w:rPr>
            </w:pPr>
            <w:r w:rsidRPr="0092237E">
              <w:rPr>
                <w:rFonts w:cstheme="minorHAnsi"/>
                <w:sz w:val="20"/>
                <w:szCs w:val="20"/>
              </w:rPr>
              <w:t>Cycla Corporation</w:t>
            </w:r>
          </w:p>
        </w:tc>
        <w:tc>
          <w:tcPr>
            <w:tcW w:w="15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36" w:rsidRPr="0092237E" w:rsidRDefault="003E2551" w:rsidP="00EE5B36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30" w:history="1">
              <w:r w:rsidR="00EE5B36" w:rsidRPr="0092237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herbw@cycla.com </w:t>
              </w:r>
            </w:hyperlink>
          </w:p>
        </w:tc>
      </w:tr>
    </w:tbl>
    <w:p w:rsidR="00EE5B36" w:rsidRPr="0092237E" w:rsidRDefault="00660CB1" w:rsidP="00660CB1">
      <w:pPr>
        <w:spacing w:after="0"/>
      </w:pPr>
      <w:r w:rsidRPr="0092237E">
        <w:t>* Co-leaders</w:t>
      </w:r>
    </w:p>
    <w:sectPr w:rsidR="00EE5B36" w:rsidRPr="0092237E" w:rsidSect="007170AF">
      <w:headerReference w:type="default" r:id="rId3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7E" w:rsidRDefault="0092237E" w:rsidP="00760F23">
      <w:pPr>
        <w:spacing w:after="0" w:line="240" w:lineRule="auto"/>
      </w:pPr>
      <w:r>
        <w:separator/>
      </w:r>
    </w:p>
  </w:endnote>
  <w:endnote w:type="continuationSeparator" w:id="0">
    <w:p w:rsidR="0092237E" w:rsidRDefault="0092237E" w:rsidP="0076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7E" w:rsidRDefault="0092237E" w:rsidP="00760F23">
      <w:pPr>
        <w:spacing w:after="0" w:line="240" w:lineRule="auto"/>
      </w:pPr>
      <w:r>
        <w:separator/>
      </w:r>
    </w:p>
  </w:footnote>
  <w:footnote w:type="continuationSeparator" w:id="0">
    <w:p w:rsidR="0092237E" w:rsidRDefault="0092237E" w:rsidP="0076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7E" w:rsidRDefault="0092237E" w:rsidP="00027C65">
    <w:pPr>
      <w:pStyle w:val="Header"/>
      <w:spacing w:after="120"/>
      <w:jc w:val="center"/>
      <w:rPr>
        <w:rStyle w:val="Heading1Cha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-295275</wp:posOffset>
          </wp:positionV>
          <wp:extent cx="828675" cy="733425"/>
          <wp:effectExtent l="19050" t="0" r="9525" b="0"/>
          <wp:wrapThrough wrapText="bothSides">
            <wp:wrapPolygon edited="0">
              <wp:start x="-497" y="0"/>
              <wp:lineTo x="-497" y="21319"/>
              <wp:lineTo x="21848" y="21319"/>
              <wp:lineTo x="21848" y="0"/>
              <wp:lineTo x="-497" y="0"/>
            </wp:wrapPolygon>
          </wp:wrapThrough>
          <wp:docPr id="1" name="Picture 1" descr="PI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P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5901">
      <w:rPr>
        <w:rStyle w:val="Heading1Char"/>
      </w:rPr>
      <w:t xml:space="preserve">PIPA </w:t>
    </w:r>
    <w:r>
      <w:rPr>
        <w:rStyle w:val="Heading1Char"/>
      </w:rPr>
      <w:t>March 14, 2012 Communications Team Meeting Notes</w:t>
    </w:r>
  </w:p>
  <w:p w:rsidR="0092237E" w:rsidRPr="00027C65" w:rsidRDefault="0092237E" w:rsidP="00027C65">
    <w:pPr>
      <w:pStyle w:val="Header"/>
      <w:spacing w:after="120"/>
      <w:jc w:val="center"/>
      <w:rPr>
        <w:rStyle w:val="Heading1Ch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51C9"/>
    <w:multiLevelType w:val="hybridMultilevel"/>
    <w:tmpl w:val="C8AC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B24"/>
    <w:multiLevelType w:val="hybridMultilevel"/>
    <w:tmpl w:val="84DC52C2"/>
    <w:lvl w:ilvl="0" w:tplc="3E721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BBE227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4D8B66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F347B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90021F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1BE568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6" w:tplc="36B890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7" w:tplc="79A8825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B44CF2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</w:abstractNum>
  <w:abstractNum w:abstractNumId="2">
    <w:nsid w:val="10357DB9"/>
    <w:multiLevelType w:val="hybridMultilevel"/>
    <w:tmpl w:val="C1846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85185"/>
    <w:multiLevelType w:val="hybridMultilevel"/>
    <w:tmpl w:val="273A5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C82440"/>
    <w:multiLevelType w:val="hybridMultilevel"/>
    <w:tmpl w:val="C42C4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2BE8"/>
    <w:multiLevelType w:val="hybridMultilevel"/>
    <w:tmpl w:val="429CD9C4"/>
    <w:lvl w:ilvl="0" w:tplc="CAF01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AE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2E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6C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C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2F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C7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84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ED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8838AA"/>
    <w:multiLevelType w:val="hybridMultilevel"/>
    <w:tmpl w:val="325E9C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904DBA"/>
    <w:multiLevelType w:val="hybridMultilevel"/>
    <w:tmpl w:val="2A6CDA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C47C3"/>
    <w:multiLevelType w:val="multilevel"/>
    <w:tmpl w:val="37F4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C5EBA"/>
    <w:multiLevelType w:val="hybridMultilevel"/>
    <w:tmpl w:val="BB900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30544"/>
    <w:multiLevelType w:val="hybridMultilevel"/>
    <w:tmpl w:val="812ACC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E39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AB3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EB648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BA057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8382A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0C448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CF073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E14BF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411D26A6"/>
    <w:multiLevelType w:val="hybridMultilevel"/>
    <w:tmpl w:val="6316A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EA5EE6"/>
    <w:multiLevelType w:val="multilevel"/>
    <w:tmpl w:val="D52C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31F28"/>
    <w:multiLevelType w:val="hybridMultilevel"/>
    <w:tmpl w:val="17185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2A75B4"/>
    <w:multiLevelType w:val="multilevel"/>
    <w:tmpl w:val="8D3C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CE139A"/>
    <w:multiLevelType w:val="hybridMultilevel"/>
    <w:tmpl w:val="817E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C6810"/>
    <w:multiLevelType w:val="hybridMultilevel"/>
    <w:tmpl w:val="EF869ECA"/>
    <w:lvl w:ilvl="0" w:tplc="1430F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E3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AB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64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05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82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44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0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4B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B713C5C"/>
    <w:multiLevelType w:val="hybridMultilevel"/>
    <w:tmpl w:val="BE0A29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3C2575"/>
    <w:multiLevelType w:val="hybridMultilevel"/>
    <w:tmpl w:val="2FC60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73743E"/>
    <w:multiLevelType w:val="hybridMultilevel"/>
    <w:tmpl w:val="66007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C5102"/>
    <w:multiLevelType w:val="hybridMultilevel"/>
    <w:tmpl w:val="EB92D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6A0776"/>
    <w:multiLevelType w:val="hybridMultilevel"/>
    <w:tmpl w:val="DBFA7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B5766A"/>
    <w:multiLevelType w:val="hybridMultilevel"/>
    <w:tmpl w:val="4072E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536D8F"/>
    <w:multiLevelType w:val="hybridMultilevel"/>
    <w:tmpl w:val="8F949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17"/>
  </w:num>
  <w:num w:numId="5">
    <w:abstractNumId w:val="0"/>
  </w:num>
  <w:num w:numId="6">
    <w:abstractNumId w:val="5"/>
  </w:num>
  <w:num w:numId="7">
    <w:abstractNumId w:val="1"/>
  </w:num>
  <w:num w:numId="8">
    <w:abstractNumId w:val="16"/>
  </w:num>
  <w:num w:numId="9">
    <w:abstractNumId w:val="2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23"/>
  </w:num>
  <w:num w:numId="15">
    <w:abstractNumId w:val="8"/>
  </w:num>
  <w:num w:numId="16">
    <w:abstractNumId w:val="19"/>
  </w:num>
  <w:num w:numId="17">
    <w:abstractNumId w:val="7"/>
  </w:num>
  <w:num w:numId="18">
    <w:abstractNumId w:val="22"/>
  </w:num>
  <w:num w:numId="19">
    <w:abstractNumId w:val="21"/>
  </w:num>
  <w:num w:numId="20">
    <w:abstractNumId w:val="4"/>
  </w:num>
  <w:num w:numId="21">
    <w:abstractNumId w:val="3"/>
  </w:num>
  <w:num w:numId="22">
    <w:abstractNumId w:val="13"/>
  </w:num>
  <w:num w:numId="23">
    <w:abstractNumId w:val="9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0F23"/>
    <w:rsid w:val="0000387E"/>
    <w:rsid w:val="00007345"/>
    <w:rsid w:val="00027C65"/>
    <w:rsid w:val="000344F8"/>
    <w:rsid w:val="00036F44"/>
    <w:rsid w:val="000427B1"/>
    <w:rsid w:val="00055D6B"/>
    <w:rsid w:val="000721C3"/>
    <w:rsid w:val="0009599F"/>
    <w:rsid w:val="00095C1C"/>
    <w:rsid w:val="000C2990"/>
    <w:rsid w:val="0013727E"/>
    <w:rsid w:val="00170513"/>
    <w:rsid w:val="001737A4"/>
    <w:rsid w:val="001C221B"/>
    <w:rsid w:val="001E1020"/>
    <w:rsid w:val="001E17D1"/>
    <w:rsid w:val="00253496"/>
    <w:rsid w:val="00254E06"/>
    <w:rsid w:val="00271FB6"/>
    <w:rsid w:val="002768D5"/>
    <w:rsid w:val="00281DCF"/>
    <w:rsid w:val="0028277F"/>
    <w:rsid w:val="00283937"/>
    <w:rsid w:val="002F0606"/>
    <w:rsid w:val="00305FCE"/>
    <w:rsid w:val="0031574F"/>
    <w:rsid w:val="00344C84"/>
    <w:rsid w:val="00360524"/>
    <w:rsid w:val="003E2551"/>
    <w:rsid w:val="003F241E"/>
    <w:rsid w:val="00412477"/>
    <w:rsid w:val="004335E9"/>
    <w:rsid w:val="004B049A"/>
    <w:rsid w:val="004C2E10"/>
    <w:rsid w:val="00510D47"/>
    <w:rsid w:val="0051141D"/>
    <w:rsid w:val="005329F7"/>
    <w:rsid w:val="00591FB1"/>
    <w:rsid w:val="005C5F3A"/>
    <w:rsid w:val="005D3BE5"/>
    <w:rsid w:val="00646553"/>
    <w:rsid w:val="00660CB1"/>
    <w:rsid w:val="00674A24"/>
    <w:rsid w:val="006B62E6"/>
    <w:rsid w:val="006C6BF6"/>
    <w:rsid w:val="006E2E4F"/>
    <w:rsid w:val="007170AF"/>
    <w:rsid w:val="00760F23"/>
    <w:rsid w:val="00761CBE"/>
    <w:rsid w:val="00765901"/>
    <w:rsid w:val="00774F9D"/>
    <w:rsid w:val="007979E3"/>
    <w:rsid w:val="007A4605"/>
    <w:rsid w:val="007B60F9"/>
    <w:rsid w:val="007D6A6E"/>
    <w:rsid w:val="007F055D"/>
    <w:rsid w:val="00840C3C"/>
    <w:rsid w:val="008605D3"/>
    <w:rsid w:val="008B17FC"/>
    <w:rsid w:val="00904B03"/>
    <w:rsid w:val="0092237E"/>
    <w:rsid w:val="00924CD5"/>
    <w:rsid w:val="00944CF6"/>
    <w:rsid w:val="00963D76"/>
    <w:rsid w:val="00987B93"/>
    <w:rsid w:val="009A5E8D"/>
    <w:rsid w:val="009B3D12"/>
    <w:rsid w:val="009B3E3F"/>
    <w:rsid w:val="009C6304"/>
    <w:rsid w:val="009D1B03"/>
    <w:rsid w:val="009F3D53"/>
    <w:rsid w:val="009F6347"/>
    <w:rsid w:val="00A03E8A"/>
    <w:rsid w:val="00A105E0"/>
    <w:rsid w:val="00A116EB"/>
    <w:rsid w:val="00A24419"/>
    <w:rsid w:val="00A30CE6"/>
    <w:rsid w:val="00A72AED"/>
    <w:rsid w:val="00A83F48"/>
    <w:rsid w:val="00AB7919"/>
    <w:rsid w:val="00B87104"/>
    <w:rsid w:val="00B940FE"/>
    <w:rsid w:val="00B94491"/>
    <w:rsid w:val="00BB6341"/>
    <w:rsid w:val="00BC4625"/>
    <w:rsid w:val="00BE139C"/>
    <w:rsid w:val="00BF00BB"/>
    <w:rsid w:val="00BF7F3D"/>
    <w:rsid w:val="00C413ED"/>
    <w:rsid w:val="00C521CA"/>
    <w:rsid w:val="00CA30EE"/>
    <w:rsid w:val="00CB4FDF"/>
    <w:rsid w:val="00CC5953"/>
    <w:rsid w:val="00CF596E"/>
    <w:rsid w:val="00CF59B3"/>
    <w:rsid w:val="00CF5A1C"/>
    <w:rsid w:val="00D05CA0"/>
    <w:rsid w:val="00D1431B"/>
    <w:rsid w:val="00D2417C"/>
    <w:rsid w:val="00D504D2"/>
    <w:rsid w:val="00D701F0"/>
    <w:rsid w:val="00DB7CB8"/>
    <w:rsid w:val="00DD5D9A"/>
    <w:rsid w:val="00E01DCB"/>
    <w:rsid w:val="00E171AC"/>
    <w:rsid w:val="00EB0E90"/>
    <w:rsid w:val="00EC6EEE"/>
    <w:rsid w:val="00EE5B36"/>
    <w:rsid w:val="00F20145"/>
    <w:rsid w:val="00F22546"/>
    <w:rsid w:val="00F233BD"/>
    <w:rsid w:val="00F547DB"/>
    <w:rsid w:val="00F8229C"/>
    <w:rsid w:val="00FC3CCA"/>
    <w:rsid w:val="00FE740A"/>
    <w:rsid w:val="00FF4A1D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51"/>
  </w:style>
  <w:style w:type="paragraph" w:styleId="Heading1">
    <w:name w:val="heading 1"/>
    <w:basedOn w:val="Normal"/>
    <w:next w:val="Normal"/>
    <w:link w:val="Heading1Char"/>
    <w:uiPriority w:val="9"/>
    <w:qFormat/>
    <w:rsid w:val="00765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221B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23"/>
  </w:style>
  <w:style w:type="paragraph" w:styleId="Footer">
    <w:name w:val="footer"/>
    <w:basedOn w:val="Normal"/>
    <w:link w:val="FooterChar"/>
    <w:uiPriority w:val="99"/>
    <w:unhideWhenUsed/>
    <w:rsid w:val="0076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23"/>
  </w:style>
  <w:style w:type="paragraph" w:styleId="ListParagraph">
    <w:name w:val="List Paragraph"/>
    <w:basedOn w:val="Normal"/>
    <w:uiPriority w:val="34"/>
    <w:qFormat/>
    <w:rsid w:val="00F225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C221B"/>
    <w:rPr>
      <w:rFonts w:ascii="Times New Roman" w:eastAsia="Arial Unicode MS" w:hAnsi="Times New Roman" w:cs="Times New Roman"/>
      <w:b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1C221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7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5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241E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3F24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05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05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05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5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5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51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71F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221B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23"/>
  </w:style>
  <w:style w:type="paragraph" w:styleId="Footer">
    <w:name w:val="footer"/>
    <w:basedOn w:val="Normal"/>
    <w:link w:val="FooterChar"/>
    <w:uiPriority w:val="99"/>
    <w:unhideWhenUsed/>
    <w:rsid w:val="0076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23"/>
  </w:style>
  <w:style w:type="paragraph" w:styleId="ListParagraph">
    <w:name w:val="List Paragraph"/>
    <w:basedOn w:val="Normal"/>
    <w:uiPriority w:val="34"/>
    <w:qFormat/>
    <w:rsid w:val="00F225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C221B"/>
    <w:rPr>
      <w:rFonts w:ascii="Times New Roman" w:eastAsia="Arial Unicode MS" w:hAnsi="Times New Roman" w:cs="Times New Roman"/>
      <w:b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1C221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7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5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241E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3F24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05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05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05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5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5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51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71F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69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07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9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8340">
          <w:marLeft w:val="2550"/>
          <w:marRight w:val="15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174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334">
          <w:marLeft w:val="240"/>
          <w:marRight w:val="240"/>
          <w:marTop w:val="240"/>
          <w:marBottom w:val="240"/>
          <w:divBdr>
            <w:top w:val="single" w:sz="6" w:space="13" w:color="000000"/>
            <w:left w:val="single" w:sz="2" w:space="13" w:color="000000"/>
            <w:bottom w:val="single" w:sz="6" w:space="13" w:color="000000"/>
            <w:right w:val="single" w:sz="2" w:space="13" w:color="000000"/>
          </w:divBdr>
        </w:div>
      </w:divsChild>
    </w:div>
    <w:div w:id="1017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516">
          <w:marLeft w:val="2550"/>
          <w:marRight w:val="15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16402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16">
          <w:marLeft w:val="2550"/>
          <w:marRight w:val="15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8325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munyon@iub.iowa.gov" TargetMode="External"/><Relationship Id="rId13" Type="http://schemas.openxmlformats.org/officeDocument/2006/relationships/hyperlink" Target="mailto:pulidindi@nlc.org" TargetMode="External"/><Relationship Id="rId18" Type="http://schemas.openxmlformats.org/officeDocument/2006/relationships/hyperlink" Target="mailto:carl@pstrust.org" TargetMode="External"/><Relationship Id="rId26" Type="http://schemas.openxmlformats.org/officeDocument/2006/relationships/hyperlink" Target="mailto:ADGrover@spectraenergy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dana@vectren.com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philipps@naco.org" TargetMode="External"/><Relationship Id="rId17" Type="http://schemas.openxmlformats.org/officeDocument/2006/relationships/hyperlink" Target="mailto:rebecca@pstrust.org" TargetMode="External"/><Relationship Id="rId25" Type="http://schemas.openxmlformats.org/officeDocument/2006/relationships/hyperlink" Target="mailto:SDWaller@spectraenergy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rikaa@commongroundalliance.com" TargetMode="External"/><Relationship Id="rId20" Type="http://schemas.openxmlformats.org/officeDocument/2006/relationships/hyperlink" Target="mailto:Terri.larson@enbridge.com" TargetMode="External"/><Relationship Id="rId29" Type="http://schemas.openxmlformats.org/officeDocument/2006/relationships/hyperlink" Target="mailto:apappas@rc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davenpo@naco.org" TargetMode="External"/><Relationship Id="rId24" Type="http://schemas.openxmlformats.org/officeDocument/2006/relationships/hyperlink" Target="mailto:Lmeiqs@aga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bassert@nahb.com" TargetMode="External"/><Relationship Id="rId23" Type="http://schemas.openxmlformats.org/officeDocument/2006/relationships/hyperlink" Target="mailto:pbennett@aga.org" TargetMode="External"/><Relationship Id="rId28" Type="http://schemas.openxmlformats.org/officeDocument/2006/relationships/hyperlink" Target="mailto:Greg.r.ford@williams.com" TargetMode="External"/><Relationship Id="rId10" Type="http://schemas.openxmlformats.org/officeDocument/2006/relationships/hyperlink" Target="mailto:julie.halliday@dot.gov" TargetMode="External"/><Relationship Id="rId19" Type="http://schemas.openxmlformats.org/officeDocument/2006/relationships/hyperlink" Target="mailto:gina.greenslate@sug.co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ve.fischer@dot.gov" TargetMode="External"/><Relationship Id="rId14" Type="http://schemas.openxmlformats.org/officeDocument/2006/relationships/hyperlink" Target="mailto:Chuck.lesniak@austintexas.gov" TargetMode="External"/><Relationship Id="rId22" Type="http://schemas.openxmlformats.org/officeDocument/2006/relationships/hyperlink" Target="mailto:bckanoy@vectren.com" TargetMode="External"/><Relationship Id="rId27" Type="http://schemas.openxmlformats.org/officeDocument/2006/relationships/hyperlink" Target="mailto:%20DETeschendorf@spectraenergy.com" TargetMode="External"/><Relationship Id="rId30" Type="http://schemas.openxmlformats.org/officeDocument/2006/relationships/hyperlink" Target="mailto:herbw@cyc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0DCF-485F-4E85-AC89-BF296D3C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2012-01-04T15:48:00Z</cp:lastPrinted>
  <dcterms:created xsi:type="dcterms:W3CDTF">2012-03-14T17:03:00Z</dcterms:created>
  <dcterms:modified xsi:type="dcterms:W3CDTF">2012-03-14T17:23:00Z</dcterms:modified>
</cp:coreProperties>
</file>